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426"/>
        <w:jc w:val="center"/>
        <w:tabs>
          <w:tab w:val="left" w:pos="751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поправок в проект</w:t>
      </w:r>
      <w:r>
        <w:rPr>
          <w:sz w:val="28"/>
          <w:szCs w:val="28"/>
        </w:rPr>
        <w:t xml:space="preserve"> решения Думы города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-567" w:right="536"/>
        <w:jc w:val="center"/>
        <w:keepNext/>
        <w:rPr>
          <w:bCs/>
          <w:iCs/>
          <w:sz w:val="28"/>
          <w:szCs w:val="28"/>
        </w:rPr>
        <w:outlineLvl w:val="0"/>
      </w:pP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«</w:t>
      </w:r>
      <w:r>
        <w:rPr>
          <w:sz w:val="28"/>
          <w:szCs w:val="28"/>
        </w:rPr>
        <w:t xml:space="preserve">О бюджете города Нефтеюганска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2026</w:t>
      </w:r>
      <w:r>
        <w:rPr>
          <w:sz w:val="28"/>
          <w:szCs w:val="28"/>
        </w:rPr>
        <w:t xml:space="preserve"> год и плановый период 2027</w:t>
      </w:r>
      <w:r>
        <w:rPr>
          <w:sz w:val="28"/>
          <w:szCs w:val="28"/>
        </w:rPr>
        <w:t xml:space="preserve"> и 2028</w:t>
      </w:r>
      <w:r>
        <w:rPr>
          <w:sz w:val="28"/>
          <w:szCs w:val="28"/>
        </w:rPr>
        <w:t xml:space="preserve"> годов</w:t>
      </w:r>
      <w:r>
        <w:rPr>
          <w:bCs/>
          <w:iCs/>
          <w:sz w:val="28"/>
          <w:szCs w:val="28"/>
        </w:rPr>
        <w:t xml:space="preserve">»</w:t>
      </w: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jc w:val="center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tbl>
      <w:tblPr>
        <w:tblW w:w="1531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658"/>
        <w:gridCol w:w="7652"/>
      </w:tblGrid>
      <w:tr>
        <w:tblPrEx/>
        <w:trPr>
          <w:tblHeader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</w:t>
            </w:r>
            <w:r>
              <w:rPr>
                <w:sz w:val="27"/>
                <w:szCs w:val="27"/>
              </w:rPr>
              <w:t xml:space="preserve">Текст проекта </w:t>
            </w:r>
            <w:r>
              <w:rPr>
                <w:sz w:val="27"/>
                <w:szCs w:val="27"/>
              </w:rPr>
              <w:t xml:space="preserve">решения, </w:t>
            </w:r>
            <w:r>
              <w:rPr>
                <w:sz w:val="27"/>
                <w:szCs w:val="27"/>
              </w:rPr>
              <w:t xml:space="preserve">  </w:t>
            </w:r>
            <w:r>
              <w:rPr>
                <w:sz w:val="27"/>
                <w:szCs w:val="27"/>
              </w:rPr>
              <w:t xml:space="preserve">                                                                </w:t>
            </w:r>
            <w:r>
              <w:rPr>
                <w:sz w:val="27"/>
                <w:szCs w:val="27"/>
              </w:rPr>
              <w:t xml:space="preserve">внесенного в Думу города 10</w:t>
            </w:r>
            <w:r>
              <w:rPr>
                <w:sz w:val="27"/>
                <w:szCs w:val="27"/>
              </w:rPr>
              <w:t xml:space="preserve">.11.202</w:t>
            </w:r>
            <w:r>
              <w:rPr>
                <w:sz w:val="27"/>
                <w:szCs w:val="27"/>
              </w:rPr>
              <w:t xml:space="preserve">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Текст проекта решения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 учетом вносимых поправок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Нефтеюганска (далее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бюджет города) на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в сумме   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14 05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9 278 928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2)общий объём расходов бюджета города в 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15 132 003 806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 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3)дефицит бюджета города в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1 07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2 724 878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города на 1 января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в объёме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верхний предел долга по муниципальным гарантиям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)объем расходов на обслуживание муниципального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лей.</w:t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Нефтеюганска (далее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бюджет города) на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в 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14 05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9 28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2)общий объём расходов бюджета города в 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15 261 781 231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рубль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3)дефицит бюджета города в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сумме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1 202 499 203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рубля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города на 1 января 20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в объёме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верхний предел долга по муниципальным гарантиям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)объем расходов на обслуживание муниципального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внутреннего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долга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лей.</w:t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b050"/>
                <w:sz w:val="27"/>
                <w:szCs w:val="27"/>
                <w:lang w:eastAsia="ru-RU"/>
              </w:rPr>
            </w:r>
          </w:p>
        </w:tc>
      </w:tr>
      <w:tr>
        <w:tblPrEx/>
        <w:trPr>
          <w:trHeight w:val="2204"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на плановый период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13 973 543 421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13 700 197 558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рублей;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2)общий объём расходов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14 365 723 704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13 843 213 664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 условно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утвержденные расходы на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0 000 рублей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000 000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3)дефицит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         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392 180 283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143 016 106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муниципального внутреннего долга на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0 рублей, на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143 016 106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 верхний предел долга по муниципальным гарантиям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в объёме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  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5)объем расходов на обслуживание муниципального внутреннего долга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12 715 510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основные характеристики бюджета города на плановый период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и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1)общий объём доходов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13 973 54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13 700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2)общий объём расходов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в сумме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14 430 688 278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13 913 053 488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, в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том числе условно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утвержденные расходы на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в сумме 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0 000 рублей и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 в сумме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000 000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3)дефицит бюджета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в сумме         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457 141 757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212 852 830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4)верхний предел муниципального внутреннего долга на     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0 рублей, на 1 января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143 016 106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в том числе верхний предел долга по муниципальным гарантиям города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в объёме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      0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5)объем расходов на обслуживание муниципального внутреннего долга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0 рублей, 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12 715 510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</w:tr>
      <w:tr>
        <w:tblPrEx/>
        <w:trPr>
          <w:trHeight w:val="1691"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в бюджете общий объём межбюджетных трансфертов, получаемых из других бюджетов: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7 347 022 700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7 057 411 200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6 521 859 900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 в бюджете общий объём межбюджетных трансфертов, получаемых из других бюджетов: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1)на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7 347 02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рублей;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2)на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7 057 41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рублей;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3)на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 год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6 521 8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63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  <w:lang w:eastAsia="ru-RU"/>
              </w:rPr>
              <w:t xml:space="preserve">рублей.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объем бюджетных ассигнований дорожного фонда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муниципального образования город Нефтеюганск: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767 619 862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628 696 762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512 379 092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Установить, что в соответствии с под</w:t>
            </w:r>
            <w:hyperlink r:id="rId11" w:tooltip="consultantplus://offline/ref=16052D54272BCDE38E95F2676CA6BB086E21ABD80E96DE618385A82DB67D15FCDDAE201BDB5EF650425EB899C1EA980EEB1B7D078E7C38D5MCGCH" w:history="1">
              <w:r>
                <w:rPr>
                  <w:rFonts w:ascii="Times New Roman" w:hAnsi="Times New Roman" w:cs="Times New Roman"/>
                  <w:sz w:val="27"/>
                  <w:szCs w:val="27"/>
                </w:rPr>
                <w:t xml:space="preserve">пунктом 9 пункта 2.2</w:t>
              </w:r>
            </w:hyperlink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Думы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592 267 562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409 706 562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271 038 792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Утвердить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объем бюджетных ассигнований дорожного фонда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муниципального образования город Нефтеюганск: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766 829 881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рубль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628 696 762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 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3)на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512 379 092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Установить, что в соответствии с под</w:t>
            </w:r>
            <w:hyperlink r:id="rId12" w:tooltip="consultantplus://offline/ref=16052D54272BCDE38E95F2676CA6BB086E21ABD80E96DE618385A82DB67D15FCDDAE201BDB5EF650425EB899C1EA980EEB1B7D078E7C38D5MCGCH" w:history="1">
              <w:r>
                <w:rPr>
                  <w:rFonts w:ascii="Times New Roman" w:hAnsi="Times New Roman" w:cs="Times New Roman"/>
                  <w:sz w:val="27"/>
                  <w:szCs w:val="27"/>
                </w:rPr>
                <w:t xml:space="preserve">пунктом 9 пункта 2.2</w:t>
              </w:r>
            </w:hyperlink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Думы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591 477 581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рубль</w:t>
            </w: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409 706 562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pPr>
              <w:pStyle w:val="923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году в сумме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271 038 792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рубл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</w:p>
          <w:p>
            <w:r/>
            <w:r/>
          </w:p>
        </w:tc>
      </w:tr>
      <w:tr>
        <w:tblPrEx/>
        <w:trPr>
          <w:trHeight w:val="928"/>
        </w:trPr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Установить,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что расходование средств, а именно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суммы штрафов, установленных Кодексом Российской Федерации об административных правонарушениях за административные правонаруше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средств от п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.01.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2002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7-ФЗ «Об охране окружающей среды.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14.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Установить,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что расходование средств, а именно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: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суммы штрафов, установленных Кодексом Российской Федерации об административных правонарушениях за административные правонаруше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средств от п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;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Calibri" w:cs="Times New Roman"/>
                <w:sz w:val="27"/>
                <w:szCs w:val="27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осуществляется в соответствии с Планом мероприятий, указанных 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пункте 1 статьи 75.1 и пункте 1 статьи 78.2 Федерального закона от 10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.01.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2002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7"/>
                <w:szCs w:val="27"/>
              </w:rPr>
              <w:t xml:space="preserve">7-ФЗ «Об охране окружающей среды. 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</w:r>
          </w:p>
        </w:tc>
      </w:tr>
      <w:tr>
        <w:tblPrEx/>
        <w:trPr>
          <w:trHeight w:val="928"/>
        </w:trPr>
        <w:tc>
          <w:tcPr>
            <w:shd w:val="clear" w:color="ffffff" w:fill="ffffff"/>
            <w:tcW w:w="7658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Установить, что в целях возмещения недополученных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доходов и (или) финансового обеспечения (возмещения) затрат в связи с производством (реализацией) тов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предоставляются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на безвозмездной и безвозвратной основе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юридическим лицам (за исключением субсидий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государственным (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муниципальным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учреждениям), индивидуальным предпринимателям, а также физическим лицам – производителям товаров, работ, услуг, в следующих случаях: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возмещение затрат субъектам малого и среднего предпринимательства и развитие социального предпринимательства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4)на возмещение затрат, включая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гры от 30 декабря 2016 года № 567-п «Об отдельных вопросах реализации Закона Ханты-Мансийского автономного округа - Югры от 11 декабря 2013 года № 123-оз «О наделении органов местного самоуправления муниципальных образований Ханты-Мансийского автономного 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6)на возмещение затрат по откачке и вывозу 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возмещение затрат сельхозтоваропроизводителям (за исключением личных подсобных хозяйств) на поддержку растениеводства;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8)на возмещение затрат сельхозтоваропроизводителям на поддержку животноводства;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финансовое обеспечение затрат АО «Югансктранстеплосервис»,      АО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тлов на резервный вид топлива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Бюджетного кодекса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</w:tc>
        <w:tc>
          <w:tcPr>
            <w:tcW w:w="7652" w:type="dxa"/>
            <w:vMerge w:val="restart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Установить, что в целях возмещения недополученных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доходов и (или) финансового обеспечения (возмещения) затрат в связи с производством (реализацией) тов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 предоставляются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на безвозмездной и безвозвратной основе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юридическим лицам (за исключением субсидий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государственным (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муниципальным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учреждениям), индивидуальным предпринимателям, а также физическим лицам – производителям товаров, работ, услуг, в следующих случаях: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возмещение затрат субъектам малого и среднего предпринимательства и развитие социального предпринимательства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4)на возмещение затрат, включая расходы на оплату труда педагогических работников и работников, занимаю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я 2013 года № 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работников, приобретение учебников и учебных пособий, средств обучения, игр, игрушек (за исключением расходов на содержание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6)на возмещение затрат по откачке и вывозу б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возмещение затрат сельхозтоваропроизводителям (за исключением личных подсобных хозяйств) на поддержку растениеводства;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8)на возмещение затрат сельхозтоваропроизводителям на поддержку животноводства;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10)на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финансовое обеспечение затрат АО «Югансктранстеплосервис»,      АО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тлов на резервный вид топлива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13)на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 (максимальных) индексов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Бюджетного кодекса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 в том чис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администрирование переданного отдельного государственного полномочия по предоставлению компенсации части родительской платы за при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бюджета (в 202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году);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 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инициативных проектов (в 2026 году)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проведение государственной итоговой аттестации, завершающей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освоение основных образовательных программ основного общего и среднего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мероприятий по оснащению (дооснащению) постоянного рабочего места для трудоустройства инвалида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r/>
            <w:r/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 в том чис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1)на администрирование переданного отдельного государственного полномочия по предоставлению компенсации части родительской платы за при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7)на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инициативных проектов (в 2026 году)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проведение государственной итоговой аттестации, завершающей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освоение основных образовательных программ основного общего и среднего образования;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)на реализацию мероприятий по оснащению (дооснащению) постоянного рабочего места для трудоустройства инвалида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)н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Муниципа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r/>
            <w:r/>
          </w:p>
        </w:tc>
      </w:tr>
      <w:tr>
        <w:tblPrEx/>
        <w:trPr/>
        <w:tc>
          <w:tcPr>
            <w:shd w:val="clear" w:color="auto" w:fill="auto"/>
            <w:tcW w:w="7658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Установить, что д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епартамент финансов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администрации города Нефтеюганска (далее – департамент финансов)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vertAlign w:val="superscript"/>
                <w:lang w:eastAsia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Положения о бюджетном устройстве и бюджетном процессе в городе Нефтеюганске, утвержденном решением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Думы города Нефтеюганска от 25.09.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2013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  <w:t xml:space="preserve">633-V.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lang w:eastAsia="ru-RU"/>
              </w:rPr>
            </w:r>
          </w:p>
          <w:p>
            <w:pPr>
              <w:ind w:firstLine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652" w:type="dxa"/>
            <w:textDirection w:val="lrTb"/>
            <w:noWrap w:val="false"/>
          </w:tcPr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В соответствии с пунктом 8 статьи 217 Бюджетного кодекса Российской Федерации, пунктом 2 статьи 121 решения Думы города Нефтеюганска от 25.09.20</w:t>
            </w:r>
            <w:bookmarkStart w:id="0" w:name="undefined"/>
            <w:r>
              <w:rPr>
                <w:b/>
                <w:bCs/>
                <w:highlight w:val="white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13 № 633-V «Об утверждении Положения о бюджетном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устройстве и бюджетном процессе в городе Нефтеюганске» дополнительными основаниями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являются: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1)перераспределение бюджетных ассигнований, предусматриваемых за счет субсидий, субвенций, иных межбюджетн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2)перераспределение бюджетных ассигнований за счет средств местного бюджета по разделам, подразделам, целевым статьям, видам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 расходов 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  <w:p>
            <w:pPr>
              <w:ind w:firstLine="709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7"/>
                <w:szCs w:val="27"/>
                <w:highlight w:val="white"/>
                <w:lang w:eastAsia="ru-RU"/>
              </w:rPr>
              <w:t xml:space="preserve">3)распределение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7"/>
                <w:szCs w:val="27"/>
                <w:highlight w:val="white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notePr/>
      <w:endnotePr/>
      <w:type w:val="nextPage"/>
      <w:pgSz w:w="16838" w:h="11906" w:orient="landscape"/>
      <w:pgMar w:top="1134" w:right="567" w:bottom="1134" w:left="993" w:header="709" w:footer="709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12</w:t>
    </w:r>
    <w:r>
      <w:fldChar w:fldCharType="end"/>
    </w:r>
    <w:r/>
  </w:p>
  <w:p>
    <w:pPr>
      <w:pStyle w:val="92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9"/>
      <w:numFmt w:val="decimal"/>
      <w:isLgl w:val="false"/>
      <w:suff w:val="tab"/>
      <w:lvlText w:val="%1)"/>
      <w:lvlJc w:val="left"/>
      <w:pPr>
        <w:ind w:left="117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37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89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6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9">
    <w:multiLevelType w:val="hybridMultilevel"/>
    <w:lvl w:ilvl="0">
      <w:start w:val="9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0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3"/>
  </w:num>
  <w:num w:numId="3">
    <w:abstractNumId w:val="28"/>
  </w:num>
  <w:num w:numId="4">
    <w:abstractNumId w:val="29"/>
  </w:num>
  <w:num w:numId="5">
    <w:abstractNumId w:val="9"/>
  </w:num>
  <w:num w:numId="6">
    <w:abstractNumId w:val="27"/>
  </w:num>
  <w:num w:numId="7">
    <w:abstractNumId w:val="8"/>
  </w:num>
  <w:num w:numId="8">
    <w:abstractNumId w:val="7"/>
  </w:num>
  <w:num w:numId="9">
    <w:abstractNumId w:val="19"/>
  </w:num>
  <w:num w:numId="10">
    <w:abstractNumId w:val="1"/>
  </w:num>
  <w:num w:numId="11">
    <w:abstractNumId w:val="25"/>
  </w:num>
  <w:num w:numId="12">
    <w:abstractNumId w:val="15"/>
  </w:num>
  <w:num w:numId="13">
    <w:abstractNumId w:val="26"/>
  </w:num>
  <w:num w:numId="14">
    <w:abstractNumId w:val="6"/>
  </w:num>
  <w:num w:numId="15">
    <w:abstractNumId w:val="14"/>
  </w:num>
  <w:num w:numId="16">
    <w:abstractNumId w:val="4"/>
  </w:num>
  <w:num w:numId="17">
    <w:abstractNumId w:val="0"/>
  </w:num>
  <w:num w:numId="18">
    <w:abstractNumId w:val="20"/>
  </w:num>
  <w:num w:numId="19">
    <w:abstractNumId w:val="12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5"/>
  </w:num>
  <w:num w:numId="24">
    <w:abstractNumId w:val="22"/>
  </w:num>
  <w:num w:numId="25">
    <w:abstractNumId w:val="30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1"/>
  </w:num>
  <w:num w:numId="29">
    <w:abstractNumId w:val="24"/>
  </w:num>
  <w:num w:numId="30">
    <w:abstractNumId w:val="10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5">
    <w:name w:val="Heading 1 Char"/>
    <w:basedOn w:val="910"/>
    <w:link w:val="908"/>
    <w:uiPriority w:val="9"/>
    <w:rPr>
      <w:rFonts w:ascii="Arial" w:hAnsi="Arial" w:eastAsia="Arial" w:cs="Arial"/>
      <w:sz w:val="40"/>
      <w:szCs w:val="40"/>
    </w:rPr>
  </w:style>
  <w:style w:type="character" w:styleId="736">
    <w:name w:val="Heading 2 Char"/>
    <w:basedOn w:val="910"/>
    <w:link w:val="909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basedOn w:val="910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basedOn w:val="910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basedOn w:val="910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0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0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7"/>
    <w:next w:val="907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0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7"/>
    <w:next w:val="907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0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paragraph" w:styleId="752">
    <w:name w:val="Title"/>
    <w:basedOn w:val="907"/>
    <w:next w:val="907"/>
    <w:link w:val="7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3">
    <w:name w:val="Title Char"/>
    <w:basedOn w:val="910"/>
    <w:link w:val="752"/>
    <w:uiPriority w:val="10"/>
    <w:rPr>
      <w:sz w:val="48"/>
      <w:szCs w:val="48"/>
    </w:rPr>
  </w:style>
  <w:style w:type="paragraph" w:styleId="754">
    <w:name w:val="Subtitle"/>
    <w:basedOn w:val="907"/>
    <w:next w:val="907"/>
    <w:link w:val="755"/>
    <w:uiPriority w:val="11"/>
    <w:qFormat/>
    <w:pPr>
      <w:spacing w:before="200" w:after="200"/>
    </w:pPr>
    <w:rPr>
      <w:sz w:val="24"/>
      <w:szCs w:val="24"/>
    </w:rPr>
  </w:style>
  <w:style w:type="character" w:styleId="755">
    <w:name w:val="Subtitle Char"/>
    <w:basedOn w:val="910"/>
    <w:link w:val="754"/>
    <w:uiPriority w:val="11"/>
    <w:rPr>
      <w:sz w:val="24"/>
      <w:szCs w:val="24"/>
    </w:rPr>
  </w:style>
  <w:style w:type="paragraph" w:styleId="756">
    <w:name w:val="Quote"/>
    <w:basedOn w:val="907"/>
    <w:next w:val="907"/>
    <w:link w:val="757"/>
    <w:uiPriority w:val="29"/>
    <w:qFormat/>
    <w:pPr>
      <w:ind w:left="720" w:right="720"/>
    </w:pPr>
    <w:rPr>
      <w:i/>
    </w:rPr>
  </w:style>
  <w:style w:type="character" w:styleId="757">
    <w:name w:val="Quote Char"/>
    <w:link w:val="756"/>
    <w:uiPriority w:val="29"/>
    <w:rPr>
      <w:i/>
    </w:rPr>
  </w:style>
  <w:style w:type="paragraph" w:styleId="758">
    <w:name w:val="Intense Quote"/>
    <w:basedOn w:val="907"/>
    <w:next w:val="907"/>
    <w:link w:val="7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9">
    <w:name w:val="Intense Quote Char"/>
    <w:link w:val="758"/>
    <w:uiPriority w:val="30"/>
    <w:rPr>
      <w:i/>
    </w:rPr>
  </w:style>
  <w:style w:type="character" w:styleId="760">
    <w:name w:val="Header Char"/>
    <w:basedOn w:val="910"/>
    <w:link w:val="925"/>
    <w:uiPriority w:val="99"/>
  </w:style>
  <w:style w:type="character" w:styleId="761">
    <w:name w:val="Footer Char"/>
    <w:basedOn w:val="910"/>
    <w:link w:val="927"/>
    <w:uiPriority w:val="99"/>
  </w:style>
  <w:style w:type="paragraph" w:styleId="762">
    <w:name w:val="Caption"/>
    <w:basedOn w:val="907"/>
    <w:next w:val="907"/>
    <w:link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3">
    <w:name w:val="Caption Char"/>
    <w:basedOn w:val="910"/>
    <w:link w:val="762"/>
    <w:uiPriority w:val="35"/>
    <w:rPr>
      <w:b/>
      <w:bCs/>
      <w:color w:val="4f81bd" w:themeColor="accent1"/>
      <w:sz w:val="18"/>
      <w:szCs w:val="18"/>
    </w:rPr>
  </w:style>
  <w:style w:type="table" w:styleId="764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63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64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5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6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67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8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0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1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2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3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74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5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77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8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9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80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81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82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basedOn w:val="910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basedOn w:val="910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qFormat/>
    <w:rPr>
      <w:sz w:val="24"/>
      <w:szCs w:val="24"/>
    </w:rPr>
  </w:style>
  <w:style w:type="paragraph" w:styleId="908">
    <w:name w:val="Heading 1"/>
    <w:basedOn w:val="907"/>
    <w:next w:val="907"/>
    <w:link w:val="92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909">
    <w:name w:val="Heading 2"/>
    <w:basedOn w:val="907"/>
    <w:next w:val="907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 w:customStyle="1">
    <w:name w:val="ConsNormal"/>
    <w:pPr>
      <w:ind w:firstLine="720"/>
      <w:widowControl w:val="off"/>
    </w:pPr>
    <w:rPr>
      <w:rFonts w:ascii="Arial" w:hAnsi="Arial" w:cs="Arial"/>
    </w:rPr>
  </w:style>
  <w:style w:type="paragraph" w:styleId="914">
    <w:name w:val="Body Text 2"/>
    <w:basedOn w:val="907"/>
    <w:pPr>
      <w:jc w:val="both"/>
    </w:pPr>
    <w:rPr>
      <w:sz w:val="28"/>
    </w:rPr>
  </w:style>
  <w:style w:type="paragraph" w:styleId="915">
    <w:name w:val="Body Text"/>
    <w:basedOn w:val="907"/>
    <w:pPr>
      <w:spacing w:after="120"/>
    </w:pPr>
  </w:style>
  <w:style w:type="paragraph" w:styleId="916" w:customStyle="1">
    <w:name w:val="Название1"/>
    <w:basedOn w:val="907"/>
    <w:qFormat/>
    <w:pPr>
      <w:jc w:val="center"/>
    </w:pPr>
    <w:rPr>
      <w:b/>
      <w:bCs/>
      <w:sz w:val="28"/>
    </w:rPr>
  </w:style>
  <w:style w:type="paragraph" w:styleId="917" w:customStyle="1">
    <w:name w:val="Прижатый влево"/>
    <w:basedOn w:val="907"/>
    <w:next w:val="907"/>
    <w:rPr>
      <w:rFonts w:ascii="Arial" w:hAnsi="Arial" w:eastAsia="Calibri" w:cs="Arial"/>
      <w:lang w:eastAsia="en-US"/>
    </w:rPr>
  </w:style>
  <w:style w:type="paragraph" w:styleId="918" w:customStyle="1">
    <w:name w:val="Знак Знак Знак"/>
    <w:basedOn w:val="907"/>
    <w:pPr>
      <w:spacing w:after="160" w:line="240" w:lineRule="exact"/>
    </w:pPr>
    <w:rPr>
      <w:sz w:val="28"/>
      <w:szCs w:val="20"/>
      <w:lang w:val="en-US" w:eastAsia="en-US"/>
    </w:rPr>
  </w:style>
  <w:style w:type="paragraph" w:styleId="919">
    <w:name w:val="Balloon Text"/>
    <w:basedOn w:val="907"/>
    <w:link w:val="920"/>
    <w:rPr>
      <w:rFonts w:ascii="Segoe UI" w:hAnsi="Segoe UI" w:cs="Segoe UI"/>
      <w:sz w:val="18"/>
      <w:szCs w:val="18"/>
    </w:rPr>
  </w:style>
  <w:style w:type="character" w:styleId="920" w:customStyle="1">
    <w:name w:val="Текст выноски Знак"/>
    <w:link w:val="919"/>
    <w:rPr>
      <w:rFonts w:ascii="Segoe UI" w:hAnsi="Segoe UI" w:cs="Segoe UI"/>
      <w:sz w:val="18"/>
      <w:szCs w:val="18"/>
    </w:rPr>
  </w:style>
  <w:style w:type="paragraph" w:styleId="921">
    <w:name w:val="List Paragraph"/>
    <w:basedOn w:val="907"/>
    <w:uiPriority w:val="34"/>
    <w:qFormat/>
    <w:pPr>
      <w:contextualSpacing/>
      <w:ind w:left="720"/>
    </w:pPr>
  </w:style>
  <w:style w:type="character" w:styleId="922" w:customStyle="1">
    <w:name w:val="Заголовок 1 Знак"/>
    <w:link w:val="908"/>
    <w:rPr>
      <w:rFonts w:ascii="Cambria" w:hAnsi="Cambria" w:eastAsia="Times New Roman" w:cs="Times New Roman"/>
      <w:b/>
      <w:bCs/>
      <w:sz w:val="32"/>
      <w:szCs w:val="32"/>
    </w:rPr>
  </w:style>
  <w:style w:type="paragraph" w:styleId="923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924" w:customStyle="1">
    <w:name w:val="Знак Знак Знак Знак Знак Знак"/>
    <w:basedOn w:val="907"/>
    <w:pPr>
      <w:ind w:left="432" w:hanging="432"/>
      <w:jc w:val="both"/>
      <w:spacing w:before="120" w:after="160"/>
      <w:tabs>
        <w:tab w:val="num" w:pos="432" w:leader="none"/>
      </w:tabs>
    </w:pPr>
    <w:rPr>
      <w:b/>
      <w:bCs/>
      <w:caps/>
      <w:sz w:val="32"/>
      <w:szCs w:val="32"/>
      <w:lang w:val="en-US" w:eastAsia="en-US"/>
    </w:rPr>
  </w:style>
  <w:style w:type="paragraph" w:styleId="925">
    <w:name w:val="Header"/>
    <w:basedOn w:val="907"/>
    <w:link w:val="926"/>
    <w:pPr>
      <w:tabs>
        <w:tab w:val="center" w:pos="4677" w:leader="none"/>
        <w:tab w:val="right" w:pos="9355" w:leader="none"/>
      </w:tabs>
    </w:pPr>
  </w:style>
  <w:style w:type="character" w:styleId="926" w:customStyle="1">
    <w:name w:val="Верхний колонтитул Знак"/>
    <w:link w:val="925"/>
    <w:rPr>
      <w:sz w:val="24"/>
      <w:szCs w:val="24"/>
    </w:rPr>
  </w:style>
  <w:style w:type="paragraph" w:styleId="927">
    <w:name w:val="Footer"/>
    <w:basedOn w:val="907"/>
    <w:link w:val="928"/>
    <w:uiPriority w:val="99"/>
    <w:pPr>
      <w:tabs>
        <w:tab w:val="center" w:pos="4677" w:leader="none"/>
        <w:tab w:val="right" w:pos="9355" w:leader="none"/>
      </w:tabs>
    </w:pPr>
  </w:style>
  <w:style w:type="character" w:styleId="928" w:customStyle="1">
    <w:name w:val="Нижний колонтитул Знак"/>
    <w:link w:val="927"/>
    <w:uiPriority w:val="99"/>
    <w:rPr>
      <w:sz w:val="24"/>
      <w:szCs w:val="24"/>
    </w:rPr>
  </w:style>
  <w:style w:type="table" w:styleId="929">
    <w:name w:val="Table Grid"/>
    <w:basedOn w:val="91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30" w:customStyle="1">
    <w:name w:val="Default"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2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2B640-8E0E-49DC-AE18-402DACF1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cp:lastModifiedBy>TrusovaVA</cp:lastModifiedBy>
  <cp:revision>63</cp:revision>
  <dcterms:created xsi:type="dcterms:W3CDTF">2021-11-24T12:09:00Z</dcterms:created>
  <dcterms:modified xsi:type="dcterms:W3CDTF">2025-12-11T10:09:15Z</dcterms:modified>
</cp:coreProperties>
</file>